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660F0" w14:textId="3C2BF69B" w:rsidR="00F81424" w:rsidRPr="00F81424" w:rsidRDefault="00F81424" w:rsidP="00F81424">
      <w:pPr>
        <w:pStyle w:val="Header"/>
        <w:tabs>
          <w:tab w:val="right" w:pos="9639"/>
        </w:tabs>
        <w:jc w:val="both"/>
        <w:rPr>
          <w:rFonts w:eastAsia="Times New Roman"/>
          <w:sz w:val="24"/>
          <w:lang w:val="en-GB"/>
        </w:rPr>
      </w:pPr>
      <w:r w:rsidRPr="00F81424">
        <w:rPr>
          <w:rFonts w:eastAsia="Times New Roman"/>
          <w:sz w:val="24"/>
          <w:lang w:val="en-GB"/>
        </w:rPr>
        <w:t>3GPP TSG RAN WG1 #104b-e</w:t>
      </w:r>
      <w:r w:rsidRPr="00F81424">
        <w:rPr>
          <w:rFonts w:eastAsia="Times New Roman"/>
          <w:sz w:val="24"/>
          <w:lang w:val="en-GB"/>
        </w:rPr>
        <w:tab/>
        <w:t>R1-21</w:t>
      </w:r>
      <w:r>
        <w:rPr>
          <w:rFonts w:eastAsia="Times New Roman"/>
          <w:sz w:val="24"/>
          <w:lang w:val="en-GB"/>
        </w:rPr>
        <w:t>03069</w:t>
      </w:r>
    </w:p>
    <w:p w14:paraId="7C15AD34" w14:textId="1F5FC43E" w:rsidR="00620296" w:rsidRDefault="00F81424" w:rsidP="00F81424">
      <w:pPr>
        <w:pStyle w:val="Header"/>
        <w:tabs>
          <w:tab w:val="right" w:pos="9639"/>
        </w:tabs>
        <w:jc w:val="both"/>
        <w:rPr>
          <w:sz w:val="24"/>
        </w:rPr>
      </w:pPr>
      <w:r w:rsidRPr="00F81424">
        <w:rPr>
          <w:rFonts w:eastAsia="Times New Roman"/>
          <w:sz w:val="24"/>
          <w:lang w:val="en-GB"/>
        </w:rPr>
        <w:t>e-Meeting, April 12th – 20th, 2021</w:t>
      </w:r>
      <w:r w:rsidR="00620296"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22387919"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21394" w:rsidRPr="00F752F5">
        <w:rPr>
          <w:rFonts w:ascii="Arial" w:hAnsi="Arial"/>
          <w:sz w:val="24"/>
          <w:lang w:val="en-US"/>
        </w:rPr>
        <w:t>8.9.</w:t>
      </w:r>
      <w:r w:rsidR="00D72E9C">
        <w:rPr>
          <w:rFonts w:ascii="Arial" w:hAnsi="Arial"/>
          <w:sz w:val="24"/>
          <w:lang w:val="en-US"/>
        </w:rPr>
        <w:t>3</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20600425"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21394" w:rsidRPr="00F752F5">
        <w:rPr>
          <w:rFonts w:ascii="Arial" w:hAnsi="Arial"/>
          <w:sz w:val="24"/>
          <w:lang w:val="en-US"/>
        </w:rPr>
        <w:t xml:space="preserve">Support of </w:t>
      </w:r>
      <w:r w:rsidR="00D72E9C">
        <w:rPr>
          <w:rFonts w:ascii="Arial" w:hAnsi="Arial"/>
          <w:sz w:val="24"/>
          <w:lang w:val="en-US"/>
        </w:rPr>
        <w:t>larger TBS for eMTC</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03D25069" w14:textId="77702B8E" w:rsidR="009627A6" w:rsidRDefault="00F81424" w:rsidP="00D72E9C">
      <w:pPr>
        <w:rPr>
          <w:lang w:val="en-US"/>
        </w:rPr>
      </w:pPr>
      <w:r>
        <w:rPr>
          <w:lang w:val="en-US"/>
        </w:rPr>
        <w:t>In RAN1#104, the following was agreed:</w:t>
      </w:r>
    </w:p>
    <w:p w14:paraId="39911A28" w14:textId="77777777" w:rsidR="00F81424" w:rsidRPr="00364D0A" w:rsidRDefault="00F81424" w:rsidP="00F81424">
      <w:pPr>
        <w:overflowPunct w:val="0"/>
        <w:textAlignment w:val="baseline"/>
        <w:rPr>
          <w:rFonts w:eastAsia="SimSun"/>
          <w:highlight w:val="green"/>
        </w:rPr>
      </w:pPr>
      <w:r w:rsidRPr="00364D0A">
        <w:rPr>
          <w:rFonts w:eastAsia="SimSun"/>
          <w:highlight w:val="green"/>
        </w:rPr>
        <w:t>Agreement</w:t>
      </w:r>
    </w:p>
    <w:p w14:paraId="0EA53671" w14:textId="77777777" w:rsidR="00F81424" w:rsidRPr="00364D0A" w:rsidRDefault="00F81424" w:rsidP="00F81424">
      <w:pPr>
        <w:overflowPunct w:val="0"/>
        <w:textAlignment w:val="baseline"/>
        <w:rPr>
          <w:rFonts w:eastAsia="SimSun"/>
        </w:rPr>
      </w:pPr>
      <w:r w:rsidRPr="00364D0A">
        <w:rPr>
          <w:rFonts w:eastAsia="SimSun"/>
        </w:rPr>
        <w:t>The number of soft channel bits is calculated based on the equation:</w:t>
      </w:r>
    </w:p>
    <w:p w14:paraId="73265295" w14:textId="77777777" w:rsidR="00F81424" w:rsidRPr="00364D0A" w:rsidRDefault="00F81424" w:rsidP="00F81424">
      <w:pPr>
        <w:overflowPunct w:val="0"/>
        <w:textAlignment w:val="baseline"/>
        <w:rPr>
          <w:rFonts w:eastAsia="SimSun"/>
        </w:rPr>
      </w:pPr>
      <w:r w:rsidRPr="00364D0A">
        <w:rPr>
          <w:noProof/>
        </w:rPr>
        <w:drawing>
          <wp:inline distT="0" distB="0" distL="0" distR="0" wp14:anchorId="29A486B9" wp14:editId="27D12F4A">
            <wp:extent cx="5915025" cy="447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14:paraId="203B0D8D" w14:textId="77777777" w:rsidR="00F81424" w:rsidRDefault="00F81424" w:rsidP="00F81424">
      <w:pPr>
        <w:rPr>
          <w:rFonts w:eastAsia="SimSun"/>
          <w:highlight w:val="darkYellow"/>
        </w:rPr>
      </w:pPr>
    </w:p>
    <w:p w14:paraId="14839199" w14:textId="77777777" w:rsidR="00F81424" w:rsidRPr="00364D0A" w:rsidRDefault="00F81424" w:rsidP="00F81424">
      <w:pPr>
        <w:rPr>
          <w:lang w:eastAsia="x-none"/>
        </w:rPr>
      </w:pPr>
      <w:r w:rsidRPr="00364D0A">
        <w:rPr>
          <w:rFonts w:eastAsia="SimSun"/>
          <w:highlight w:val="darkYellow"/>
        </w:rPr>
        <w:t>Working Assumption:</w:t>
      </w:r>
      <w:r w:rsidRPr="00364D0A">
        <w:rPr>
          <w:rFonts w:eastAsia="SimSun"/>
        </w:rPr>
        <w:t xml:space="preserve"> N=8</w:t>
      </w:r>
    </w:p>
    <w:p w14:paraId="167556FA" w14:textId="77777777" w:rsidR="00F81424" w:rsidRPr="00364D0A" w:rsidRDefault="00F81424" w:rsidP="00F81424">
      <w:pPr>
        <w:rPr>
          <w:lang w:eastAsia="x-none"/>
        </w:rPr>
      </w:pPr>
    </w:p>
    <w:p w14:paraId="6529E9E8" w14:textId="77777777" w:rsidR="00F81424" w:rsidRPr="00364D0A" w:rsidRDefault="00F81424" w:rsidP="00F81424">
      <w:pPr>
        <w:overflowPunct w:val="0"/>
        <w:textAlignment w:val="baseline"/>
        <w:rPr>
          <w:rFonts w:eastAsia="SimSun"/>
          <w:highlight w:val="green"/>
        </w:rPr>
      </w:pPr>
      <w:r w:rsidRPr="00364D0A">
        <w:rPr>
          <w:rFonts w:eastAsia="SimSun"/>
          <w:highlight w:val="green"/>
        </w:rPr>
        <w:t>Agreement</w:t>
      </w:r>
    </w:p>
    <w:p w14:paraId="13FF4B24" w14:textId="77777777" w:rsidR="00F81424" w:rsidRPr="00364D0A" w:rsidRDefault="00F81424" w:rsidP="00F81424">
      <w:r w:rsidRPr="00364D0A">
        <w:t>The 1736 bits DL TBS feature is enabled by unicast RRC configuration.</w:t>
      </w:r>
    </w:p>
    <w:p w14:paraId="4E0C48E7" w14:textId="77777777" w:rsidR="00F81424" w:rsidRPr="00364D0A" w:rsidRDefault="00F81424" w:rsidP="00F81424">
      <w:pPr>
        <w:overflowPunct w:val="0"/>
        <w:textAlignment w:val="baseline"/>
        <w:rPr>
          <w:rFonts w:eastAsia="SimSun"/>
          <w:highlight w:val="green"/>
        </w:rPr>
      </w:pPr>
      <w:r w:rsidRPr="00364D0A">
        <w:rPr>
          <w:rFonts w:eastAsia="SimSun"/>
          <w:highlight w:val="green"/>
        </w:rPr>
        <w:t>Agreement</w:t>
      </w:r>
    </w:p>
    <w:p w14:paraId="4855987D" w14:textId="77777777" w:rsidR="00F81424" w:rsidRPr="00364D0A" w:rsidRDefault="00F81424" w:rsidP="00F81424">
      <w:pPr>
        <w:rPr>
          <w:lang w:eastAsia="x-none"/>
        </w:rPr>
      </w:pPr>
      <w:r w:rsidRPr="00364D0A">
        <w:rPr>
          <w:lang w:eastAsia="x-none"/>
        </w:rPr>
        <w:t>For a UE configured with “1736 bits DL TBS” and 64-QAM:</w:t>
      </w:r>
    </w:p>
    <w:p w14:paraId="16C7D3B2" w14:textId="77777777" w:rsidR="00F81424" w:rsidRDefault="00F81424" w:rsidP="00F81424">
      <w:pPr>
        <w:pStyle w:val="ListParagraph"/>
        <w:numPr>
          <w:ilvl w:val="0"/>
          <w:numId w:val="31"/>
        </w:numPr>
      </w:pPr>
      <w:r>
        <w:t>If the UE is signaled with a TBS of up to and including 1736 bits, the UE shall apply the signaled TBS.</w:t>
      </w:r>
    </w:p>
    <w:p w14:paraId="0B1116CE" w14:textId="58261B0D" w:rsidR="00F81424" w:rsidRDefault="00F81424" w:rsidP="00F81424">
      <w:pPr>
        <w:pStyle w:val="ListParagraph"/>
        <w:numPr>
          <w:ilvl w:val="0"/>
          <w:numId w:val="31"/>
        </w:numPr>
      </w:pPr>
      <w:r>
        <w:t>If the UE is signaled with a TBS of greater than 1736 bits, the UE shall apply a TBS of 1736 bits.</w:t>
      </w:r>
    </w:p>
    <w:p w14:paraId="48E8B0EB" w14:textId="7F10A72A" w:rsidR="00445342" w:rsidRDefault="00445342" w:rsidP="00445342"/>
    <w:p w14:paraId="2E5B3E8E" w14:textId="202DAC73" w:rsidR="00D72E9C" w:rsidRDefault="00445342" w:rsidP="00D72E9C">
      <w:pPr>
        <w:rPr>
          <w:lang w:val="en-US"/>
        </w:rPr>
      </w:pPr>
      <w:r>
        <w:t>In this contribution we provide our views on the remaining issues to support 1736 bits in eMTC.</w:t>
      </w:r>
    </w:p>
    <w:p w14:paraId="7D7B9D75" w14:textId="2722E7AF" w:rsidR="00D72E9C" w:rsidRDefault="00F81424"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Soft buffer size</w:t>
      </w:r>
    </w:p>
    <w:p w14:paraId="72AA07BF" w14:textId="3EDAE728" w:rsidR="00F81424" w:rsidRDefault="00F81424" w:rsidP="00221394">
      <w:pPr>
        <w:overflowPunct w:val="0"/>
        <w:autoSpaceDE w:val="0"/>
        <w:autoSpaceDN w:val="0"/>
        <w:adjustRightInd w:val="0"/>
        <w:textAlignment w:val="baseline"/>
        <w:rPr>
          <w:rFonts w:eastAsia="SimSun"/>
          <w:lang w:val="en-US"/>
        </w:rPr>
      </w:pPr>
      <w:r>
        <w:rPr>
          <w:rFonts w:eastAsia="SimSun"/>
          <w:lang w:val="en-US"/>
        </w:rPr>
        <w:t xml:space="preserve">One open issue from the previous meeting is the value of </w:t>
      </w:r>
      <w:r w:rsidRPr="00F81424">
        <w:rPr>
          <w:rFonts w:eastAsia="SimSun"/>
          <w:i/>
          <w:iCs/>
          <w:lang w:val="en-US"/>
        </w:rPr>
        <w:t>N</w:t>
      </w:r>
      <w:r>
        <w:rPr>
          <w:rFonts w:eastAsia="SimSun"/>
          <w:lang w:val="en-US"/>
        </w:rPr>
        <w:t xml:space="preserve"> for determining the soft buffer size. In our view, this value should be </w:t>
      </w:r>
      <w:r>
        <w:rPr>
          <w:rFonts w:eastAsia="SimSun"/>
          <w:i/>
          <w:iCs/>
          <w:lang w:val="en-US"/>
        </w:rPr>
        <w:t>N=8</w:t>
      </w:r>
      <w:r>
        <w:rPr>
          <w:rFonts w:eastAsia="SimSun"/>
          <w:lang w:val="en-US"/>
        </w:rPr>
        <w:t>, and overbooking is applied to handle cases with more than 8 HARQ processes (this is the case since Rel-8). Thus, we propose to confirm the working assumption:</w:t>
      </w:r>
    </w:p>
    <w:p w14:paraId="35493399" w14:textId="77777777" w:rsidR="00F81424" w:rsidRDefault="00F81424" w:rsidP="00221394">
      <w:pPr>
        <w:overflowPunct w:val="0"/>
        <w:autoSpaceDE w:val="0"/>
        <w:autoSpaceDN w:val="0"/>
        <w:adjustRightInd w:val="0"/>
        <w:textAlignment w:val="baseline"/>
        <w:rPr>
          <w:rFonts w:eastAsia="SimSun"/>
          <w:b/>
          <w:bCs/>
          <w:lang w:val="en-US"/>
        </w:rPr>
      </w:pPr>
      <w:r w:rsidRPr="00F81424">
        <w:rPr>
          <w:rFonts w:eastAsia="SimSun"/>
          <w:b/>
          <w:bCs/>
          <w:u w:val="single"/>
          <w:lang w:val="en-US"/>
        </w:rPr>
        <w:t>Proposal 1:</w:t>
      </w:r>
      <w:r w:rsidRPr="00F81424">
        <w:rPr>
          <w:rFonts w:eastAsia="SimSun"/>
          <w:b/>
          <w:bCs/>
          <w:lang w:val="en-US"/>
        </w:rPr>
        <w:t xml:space="preserve"> Confirm the working assumption</w:t>
      </w:r>
      <w:r>
        <w:rPr>
          <w:rFonts w:eastAsia="SimSun"/>
          <w:b/>
          <w:bCs/>
          <w:lang w:val="en-US"/>
        </w:rPr>
        <w:t xml:space="preserve"> on the number of HARQ processes for soft buffer determination</w:t>
      </w:r>
      <w:r w:rsidRPr="00F81424">
        <w:rPr>
          <w:rFonts w:eastAsia="SimSun"/>
          <w:b/>
          <w:bCs/>
          <w:lang w:val="en-US"/>
        </w:rPr>
        <w:t xml:space="preserve">: </w:t>
      </w:r>
    </w:p>
    <w:p w14:paraId="0484661E" w14:textId="7925AC20" w:rsidR="00F81424" w:rsidRPr="00F81424" w:rsidRDefault="00F81424" w:rsidP="00F81424">
      <w:pPr>
        <w:pStyle w:val="ListParagraph"/>
        <w:numPr>
          <w:ilvl w:val="0"/>
          <w:numId w:val="32"/>
        </w:numPr>
        <w:rPr>
          <w:b/>
          <w:bCs/>
          <w:lang w:val="en-US"/>
        </w:rPr>
      </w:pPr>
      <w:r w:rsidRPr="00F81424">
        <w:rPr>
          <w:b/>
          <w:bCs/>
          <w:lang w:val="en-US"/>
        </w:rPr>
        <w:t>N=8</w:t>
      </w:r>
    </w:p>
    <w:p w14:paraId="44DC076D" w14:textId="081A2561" w:rsidR="00F81424" w:rsidRDefault="00F81424" w:rsidP="00F81424">
      <w:pPr>
        <w:pStyle w:val="ListParagraph"/>
        <w:numPr>
          <w:ilvl w:val="0"/>
          <w:numId w:val="32"/>
        </w:numPr>
        <w:rPr>
          <w:b/>
          <w:bCs/>
          <w:lang w:val="en-US"/>
        </w:rPr>
      </w:pPr>
      <w:r w:rsidRPr="00F81424">
        <w:rPr>
          <w:b/>
          <w:bCs/>
          <w:lang w:val="en-US"/>
        </w:rPr>
        <w:t xml:space="preserve">The soft buffer size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soft</m:t>
            </m:r>
          </m:sub>
        </m:sSub>
        <m:r>
          <m:rPr>
            <m:sty m:val="bi"/>
          </m:rPr>
          <w:rPr>
            <w:rFonts w:ascii="Cambria Math" w:hAnsi="Cambria Math"/>
            <w:lang w:val="en-US"/>
          </w:rPr>
          <m:t>=</m:t>
        </m:r>
      </m:oMath>
      <w:r w:rsidRPr="00F81424">
        <w:rPr>
          <w:b/>
          <w:bCs/>
          <w:lang w:val="en-US"/>
        </w:rPr>
        <w:t>43008</w:t>
      </w:r>
    </w:p>
    <w:p w14:paraId="6E18A4CC" w14:textId="7F88E728" w:rsidR="00445342" w:rsidRPr="00445342" w:rsidRDefault="00445342" w:rsidP="00445342">
      <w:pPr>
        <w:rPr>
          <w:rFonts w:eastAsia="SimSun"/>
          <w:lang w:val="en-US"/>
        </w:rPr>
      </w:pPr>
      <w:r w:rsidRPr="00445342">
        <w:rPr>
          <w:rFonts w:eastAsia="SimSun"/>
          <w:lang w:val="en-US"/>
        </w:rPr>
        <w:t>The implementation of the above agreement is in RAN2 specifications (36.30</w:t>
      </w:r>
      <w:r w:rsidR="003A65E7">
        <w:rPr>
          <w:rFonts w:eastAsia="SimSun"/>
          <w:lang w:val="en-US"/>
        </w:rPr>
        <w:t>6</w:t>
      </w:r>
      <w:r w:rsidRPr="00445342">
        <w:rPr>
          <w:rFonts w:eastAsia="SimSun"/>
          <w:lang w:val="en-US"/>
        </w:rPr>
        <w:t>). Also, RAN2 may need to specify new values for L2 buffer size based on the introduction of the new TBS. Thus, we propose that RAN1 sends an LS to RAN2 with these details.</w:t>
      </w:r>
    </w:p>
    <w:p w14:paraId="434AF753" w14:textId="2DFEFF4C" w:rsidR="00445342" w:rsidRDefault="00445342" w:rsidP="00445342">
      <w:pPr>
        <w:rPr>
          <w:rFonts w:eastAsia="SimSun"/>
          <w:b/>
          <w:bCs/>
          <w:lang w:val="en-US"/>
        </w:rPr>
      </w:pPr>
    </w:p>
    <w:p w14:paraId="2A94DFC7" w14:textId="696B5993" w:rsidR="00445342" w:rsidRPr="00445342" w:rsidRDefault="00445342" w:rsidP="00445342">
      <w:pPr>
        <w:rPr>
          <w:rFonts w:eastAsia="SimSun"/>
          <w:b/>
          <w:bCs/>
          <w:lang w:val="en-US"/>
        </w:rPr>
      </w:pPr>
      <w:r w:rsidRPr="00445342">
        <w:rPr>
          <w:rFonts w:eastAsia="SimSun"/>
          <w:b/>
          <w:bCs/>
          <w:u w:val="single"/>
          <w:lang w:val="en-US"/>
        </w:rPr>
        <w:lastRenderedPageBreak/>
        <w:t>Proposal 2:</w:t>
      </w:r>
      <w:r>
        <w:rPr>
          <w:rFonts w:eastAsia="SimSun"/>
          <w:b/>
          <w:bCs/>
          <w:lang w:val="en-US"/>
        </w:rPr>
        <w:t xml:space="preserve"> RAN1 to inform RAN2 on the soft buffer size for UEs supporting a larger TBS of 1736 bits, and request them to capture this value in their specifications.</w:t>
      </w:r>
    </w:p>
    <w:p w14:paraId="642227DF" w14:textId="3C30353F" w:rsidR="00F81424" w:rsidRDefault="00F81424" w:rsidP="00221394">
      <w:pPr>
        <w:overflowPunct w:val="0"/>
        <w:autoSpaceDE w:val="0"/>
        <w:autoSpaceDN w:val="0"/>
        <w:adjustRightInd w:val="0"/>
        <w:textAlignment w:val="baseline"/>
        <w:rPr>
          <w:rFonts w:eastAsia="SimSun"/>
          <w:lang w:val="en-US"/>
        </w:rPr>
      </w:pPr>
      <w:r w:rsidRPr="00F81424">
        <w:rPr>
          <w:rFonts w:eastAsia="SimSun"/>
          <w:lang w:val="en-US"/>
        </w:rPr>
        <w:t>In</w:t>
      </w:r>
      <w:r>
        <w:rPr>
          <w:rFonts w:eastAsia="SimSun"/>
          <w:lang w:val="en-US"/>
        </w:rPr>
        <w:t xml:space="preserve"> our understanding, this is the only remaining issue for the objective of larger TBS. This agenda item can be removed from future RAN1 meetings (maybe moved to “others” in case some further issue is found).</w:t>
      </w:r>
    </w:p>
    <w:p w14:paraId="3F8C02E5" w14:textId="33CCD79D" w:rsidR="00F81424" w:rsidRPr="00F81424" w:rsidRDefault="00F81424" w:rsidP="00221394">
      <w:pPr>
        <w:overflowPunct w:val="0"/>
        <w:autoSpaceDE w:val="0"/>
        <w:autoSpaceDN w:val="0"/>
        <w:adjustRightInd w:val="0"/>
        <w:textAlignment w:val="baseline"/>
        <w:rPr>
          <w:rFonts w:eastAsia="SimSun"/>
          <w:b/>
          <w:bCs/>
          <w:lang w:val="en-US"/>
        </w:rPr>
      </w:pPr>
      <w:r>
        <w:rPr>
          <w:rFonts w:eastAsia="SimSun"/>
          <w:b/>
          <w:bCs/>
          <w:u w:val="single"/>
          <w:lang w:val="en-US"/>
        </w:rPr>
        <w:t>Observation</w:t>
      </w:r>
      <w:r w:rsidR="00445342">
        <w:rPr>
          <w:rFonts w:eastAsia="SimSun"/>
          <w:b/>
          <w:bCs/>
          <w:u w:val="single"/>
          <w:lang w:val="en-US"/>
        </w:rPr>
        <w:t xml:space="preserve"> 1</w:t>
      </w:r>
      <w:r>
        <w:rPr>
          <w:rFonts w:eastAsia="SimSun"/>
          <w:b/>
          <w:bCs/>
          <w:u w:val="single"/>
          <w:lang w:val="en-US"/>
        </w:rPr>
        <w:t xml:space="preserve">: </w:t>
      </w:r>
      <w:r>
        <w:rPr>
          <w:rFonts w:eastAsia="SimSun"/>
          <w:b/>
          <w:bCs/>
          <w:lang w:val="en-US"/>
        </w:rPr>
        <w:t>The above proposal completes the work for “larger TBS for eMTC”.</w:t>
      </w:r>
      <w:r w:rsidR="00445342">
        <w:rPr>
          <w:rFonts w:eastAsia="SimSun"/>
          <w:b/>
          <w:bCs/>
          <w:lang w:val="en-US"/>
        </w:rPr>
        <w:t xml:space="preserve"> A.I. 8.9.3 can be removed from future meetings and merged with ”Others”.</w:t>
      </w:r>
    </w:p>
    <w:p w14:paraId="08C63382" w14:textId="0DE5C1F4" w:rsidR="00445342" w:rsidRDefault="00445342"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w:t>
      </w:r>
    </w:p>
    <w:p w14:paraId="690EE743" w14:textId="61FAA8C0" w:rsidR="00221394" w:rsidRDefault="00445342" w:rsidP="001B159B">
      <w:pPr>
        <w:rPr>
          <w:lang w:val="en-US"/>
        </w:rPr>
      </w:pPr>
      <w:r>
        <w:rPr>
          <w:lang w:val="en-US"/>
        </w:rPr>
        <w:t>In this contribution we provided our views on how to support a larger TBS of 1736bits in eMTC. We made the following proposals and observations:</w:t>
      </w:r>
    </w:p>
    <w:p w14:paraId="6828C34F" w14:textId="7ED9ADAC" w:rsidR="00445342" w:rsidRDefault="00445342" w:rsidP="001B159B">
      <w:pPr>
        <w:rPr>
          <w:lang w:val="en-US"/>
        </w:rPr>
      </w:pPr>
    </w:p>
    <w:p w14:paraId="1BA764A7" w14:textId="77777777" w:rsidR="00445342" w:rsidRDefault="00445342" w:rsidP="00445342">
      <w:pPr>
        <w:overflowPunct w:val="0"/>
        <w:autoSpaceDE w:val="0"/>
        <w:autoSpaceDN w:val="0"/>
        <w:adjustRightInd w:val="0"/>
        <w:textAlignment w:val="baseline"/>
        <w:rPr>
          <w:rFonts w:eastAsia="SimSun"/>
          <w:b/>
          <w:bCs/>
          <w:lang w:val="en-US"/>
        </w:rPr>
      </w:pPr>
      <w:r w:rsidRPr="00F81424">
        <w:rPr>
          <w:rFonts w:eastAsia="SimSun"/>
          <w:b/>
          <w:bCs/>
          <w:u w:val="single"/>
          <w:lang w:val="en-US"/>
        </w:rPr>
        <w:t>Proposal 1:</w:t>
      </w:r>
      <w:r w:rsidRPr="00F81424">
        <w:rPr>
          <w:rFonts w:eastAsia="SimSun"/>
          <w:b/>
          <w:bCs/>
          <w:lang w:val="en-US"/>
        </w:rPr>
        <w:t xml:space="preserve"> Confirm the working assumption</w:t>
      </w:r>
      <w:r>
        <w:rPr>
          <w:rFonts w:eastAsia="SimSun"/>
          <w:b/>
          <w:bCs/>
          <w:lang w:val="en-US"/>
        </w:rPr>
        <w:t xml:space="preserve"> on the number of HARQ processes for soft buffer determination</w:t>
      </w:r>
      <w:r w:rsidRPr="00F81424">
        <w:rPr>
          <w:rFonts w:eastAsia="SimSun"/>
          <w:b/>
          <w:bCs/>
          <w:lang w:val="en-US"/>
        </w:rPr>
        <w:t xml:space="preserve">: </w:t>
      </w:r>
    </w:p>
    <w:p w14:paraId="7FCD0872" w14:textId="77777777" w:rsidR="00445342" w:rsidRPr="00F81424" w:rsidRDefault="00445342" w:rsidP="00445342">
      <w:pPr>
        <w:pStyle w:val="ListParagraph"/>
        <w:numPr>
          <w:ilvl w:val="0"/>
          <w:numId w:val="32"/>
        </w:numPr>
        <w:rPr>
          <w:b/>
          <w:bCs/>
          <w:lang w:val="en-US"/>
        </w:rPr>
      </w:pPr>
      <w:r w:rsidRPr="00F81424">
        <w:rPr>
          <w:b/>
          <w:bCs/>
          <w:lang w:val="en-US"/>
        </w:rPr>
        <w:t>N=8</w:t>
      </w:r>
    </w:p>
    <w:p w14:paraId="77C9FCF0" w14:textId="77777777" w:rsidR="00445342" w:rsidRDefault="00445342" w:rsidP="00445342">
      <w:pPr>
        <w:pStyle w:val="ListParagraph"/>
        <w:numPr>
          <w:ilvl w:val="0"/>
          <w:numId w:val="32"/>
        </w:numPr>
        <w:rPr>
          <w:b/>
          <w:bCs/>
          <w:lang w:val="en-US"/>
        </w:rPr>
      </w:pPr>
      <w:r w:rsidRPr="00F81424">
        <w:rPr>
          <w:b/>
          <w:bCs/>
          <w:lang w:val="en-US"/>
        </w:rPr>
        <w:t xml:space="preserve">The soft buffer size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soft</m:t>
            </m:r>
          </m:sub>
        </m:sSub>
        <m:r>
          <m:rPr>
            <m:sty m:val="bi"/>
          </m:rPr>
          <w:rPr>
            <w:rFonts w:ascii="Cambria Math" w:hAnsi="Cambria Math"/>
            <w:lang w:val="en-US"/>
          </w:rPr>
          <m:t>=</m:t>
        </m:r>
      </m:oMath>
      <w:r w:rsidRPr="00F81424">
        <w:rPr>
          <w:b/>
          <w:bCs/>
          <w:lang w:val="en-US"/>
        </w:rPr>
        <w:t>43008</w:t>
      </w:r>
    </w:p>
    <w:p w14:paraId="6D20AE2B" w14:textId="77777777" w:rsidR="00445342" w:rsidRPr="00445342" w:rsidRDefault="00445342" w:rsidP="00445342">
      <w:pPr>
        <w:rPr>
          <w:rFonts w:eastAsia="SimSun"/>
          <w:b/>
          <w:bCs/>
          <w:lang w:val="en-US"/>
        </w:rPr>
      </w:pPr>
      <w:r>
        <w:rPr>
          <w:rFonts w:eastAsia="SimSun"/>
          <w:b/>
          <w:bCs/>
          <w:u w:val="single"/>
          <w:lang w:val="en-US"/>
        </w:rPr>
        <w:br/>
      </w:r>
      <w:r w:rsidRPr="00445342">
        <w:rPr>
          <w:rFonts w:eastAsia="SimSun"/>
          <w:b/>
          <w:bCs/>
          <w:u w:val="single"/>
          <w:lang w:val="en-US"/>
        </w:rPr>
        <w:t>Proposal 2:</w:t>
      </w:r>
      <w:r>
        <w:rPr>
          <w:rFonts w:eastAsia="SimSun"/>
          <w:b/>
          <w:bCs/>
          <w:lang w:val="en-US"/>
        </w:rPr>
        <w:t xml:space="preserve"> RAN1 to inform RAN2 on the soft buffer size for UEs supporting a larger TBS of 1736 bits, and request them to capture this value in their specifications.</w:t>
      </w:r>
    </w:p>
    <w:p w14:paraId="46B425C7" w14:textId="3D3E66D1" w:rsidR="00445342" w:rsidRDefault="00445342" w:rsidP="001B159B">
      <w:pPr>
        <w:rPr>
          <w:lang w:val="en-US"/>
        </w:rPr>
      </w:pPr>
    </w:p>
    <w:p w14:paraId="47F29C40" w14:textId="77777777" w:rsidR="00445342" w:rsidRPr="00F81424" w:rsidRDefault="00445342" w:rsidP="00445342">
      <w:pPr>
        <w:overflowPunct w:val="0"/>
        <w:autoSpaceDE w:val="0"/>
        <w:autoSpaceDN w:val="0"/>
        <w:adjustRightInd w:val="0"/>
        <w:textAlignment w:val="baseline"/>
        <w:rPr>
          <w:rFonts w:eastAsia="SimSun"/>
          <w:b/>
          <w:bCs/>
          <w:lang w:val="en-US"/>
        </w:rPr>
      </w:pPr>
      <w:r>
        <w:rPr>
          <w:rFonts w:eastAsia="SimSun"/>
          <w:b/>
          <w:bCs/>
          <w:u w:val="single"/>
          <w:lang w:val="en-US"/>
        </w:rPr>
        <w:t xml:space="preserve">Observation 1: </w:t>
      </w:r>
      <w:r>
        <w:rPr>
          <w:rFonts w:eastAsia="SimSun"/>
          <w:b/>
          <w:bCs/>
          <w:lang w:val="en-US"/>
        </w:rPr>
        <w:t>The above proposal completes the work for “larger TBS for eMTC”. A.I. 8.9.3 can be removed from future meetings and merged with ”Others”.</w:t>
      </w:r>
    </w:p>
    <w:p w14:paraId="1DFB2CCE" w14:textId="77777777" w:rsidR="00445342" w:rsidRPr="00F752F5" w:rsidRDefault="00445342" w:rsidP="001B159B">
      <w:pPr>
        <w:rPr>
          <w:lang w:val="en-US"/>
        </w:rPr>
      </w:pPr>
    </w:p>
    <w:sectPr w:rsidR="00445342" w:rsidRPr="00F752F5" w:rsidSect="007544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6706F" w14:textId="77777777" w:rsidR="002C38B5" w:rsidRDefault="002C38B5">
      <w:pPr>
        <w:spacing w:after="0"/>
      </w:pPr>
      <w:r>
        <w:separator/>
      </w:r>
    </w:p>
  </w:endnote>
  <w:endnote w:type="continuationSeparator" w:id="0">
    <w:p w14:paraId="2E9B2B7F" w14:textId="77777777" w:rsidR="002C38B5" w:rsidRDefault="002C38B5">
      <w:pPr>
        <w:spacing w:after="0"/>
      </w:pPr>
      <w:r>
        <w:continuationSeparator/>
      </w:r>
    </w:p>
  </w:endnote>
  <w:endnote w:type="continuationNotice" w:id="1">
    <w:p w14:paraId="6CB26923" w14:textId="77777777" w:rsidR="002C38B5" w:rsidRDefault="002C3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E6144" w14:textId="77777777" w:rsidR="002C38B5" w:rsidRDefault="002C38B5">
      <w:pPr>
        <w:spacing w:after="0"/>
      </w:pPr>
      <w:r>
        <w:separator/>
      </w:r>
    </w:p>
  </w:footnote>
  <w:footnote w:type="continuationSeparator" w:id="0">
    <w:p w14:paraId="090AD7B6" w14:textId="77777777" w:rsidR="002C38B5" w:rsidRDefault="002C38B5">
      <w:pPr>
        <w:spacing w:after="0"/>
      </w:pPr>
      <w:r>
        <w:continuationSeparator/>
      </w:r>
    </w:p>
  </w:footnote>
  <w:footnote w:type="continuationNotice" w:id="1">
    <w:p w14:paraId="6ADCDCE3" w14:textId="77777777" w:rsidR="002C38B5" w:rsidRDefault="002C3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6"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9"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7"/>
  </w:num>
  <w:num w:numId="4">
    <w:abstractNumId w:val="22"/>
  </w:num>
  <w:num w:numId="5">
    <w:abstractNumId w:val="13"/>
  </w:num>
  <w:num w:numId="6">
    <w:abstractNumId w:val="23"/>
  </w:num>
  <w:num w:numId="7">
    <w:abstractNumId w:val="28"/>
  </w:num>
  <w:num w:numId="8">
    <w:abstractNumId w:val="8"/>
  </w:num>
  <w:num w:numId="9">
    <w:abstractNumId w:val="30"/>
  </w:num>
  <w:num w:numId="10">
    <w:abstractNumId w:val="16"/>
  </w:num>
  <w:num w:numId="11">
    <w:abstractNumId w:val="6"/>
  </w:num>
  <w:num w:numId="12">
    <w:abstractNumId w:val="3"/>
  </w:num>
  <w:num w:numId="13">
    <w:abstractNumId w:val="31"/>
  </w:num>
  <w:num w:numId="14">
    <w:abstractNumId w:val="12"/>
  </w:num>
  <w:num w:numId="15">
    <w:abstractNumId w:val="7"/>
  </w:num>
  <w:num w:numId="16">
    <w:abstractNumId w:val="19"/>
  </w:num>
  <w:num w:numId="17">
    <w:abstractNumId w:val="27"/>
  </w:num>
  <w:num w:numId="18">
    <w:abstractNumId w:val="9"/>
  </w:num>
  <w:num w:numId="19">
    <w:abstractNumId w:val="25"/>
  </w:num>
  <w:num w:numId="20">
    <w:abstractNumId w:val="20"/>
  </w:num>
  <w:num w:numId="21">
    <w:abstractNumId w:val="2"/>
  </w:num>
  <w:num w:numId="22">
    <w:abstractNumId w:val="1"/>
  </w:num>
  <w:num w:numId="23">
    <w:abstractNumId w:val="24"/>
  </w:num>
  <w:num w:numId="24">
    <w:abstractNumId w:val="15"/>
  </w:num>
  <w:num w:numId="25">
    <w:abstractNumId w:val="5"/>
  </w:num>
  <w:num w:numId="26">
    <w:abstractNumId w:val="11"/>
  </w:num>
  <w:num w:numId="27">
    <w:abstractNumId w:val="14"/>
  </w:num>
  <w:num w:numId="28">
    <w:abstractNumId w:val="29"/>
  </w:num>
  <w:num w:numId="29">
    <w:abstractNumId w:val="10"/>
  </w:num>
  <w:num w:numId="30">
    <w:abstractNumId w:val="21"/>
  </w:num>
  <w:num w:numId="31">
    <w:abstractNumId w:val="2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81CDD"/>
    <w:rsid w:val="00122D19"/>
    <w:rsid w:val="00124E5D"/>
    <w:rsid w:val="00125DAC"/>
    <w:rsid w:val="00146E52"/>
    <w:rsid w:val="00154C05"/>
    <w:rsid w:val="001567AB"/>
    <w:rsid w:val="0015790E"/>
    <w:rsid w:val="00177940"/>
    <w:rsid w:val="001A452F"/>
    <w:rsid w:val="001B159B"/>
    <w:rsid w:val="001B1EC7"/>
    <w:rsid w:val="001D0962"/>
    <w:rsid w:val="001E1134"/>
    <w:rsid w:val="00221394"/>
    <w:rsid w:val="00255F0A"/>
    <w:rsid w:val="00260902"/>
    <w:rsid w:val="002742EE"/>
    <w:rsid w:val="0029388D"/>
    <w:rsid w:val="002B475A"/>
    <w:rsid w:val="002C38B5"/>
    <w:rsid w:val="00322E97"/>
    <w:rsid w:val="00340D26"/>
    <w:rsid w:val="00362F3B"/>
    <w:rsid w:val="00384FD9"/>
    <w:rsid w:val="00386F50"/>
    <w:rsid w:val="003A65E7"/>
    <w:rsid w:val="003C0B13"/>
    <w:rsid w:val="003C5BD8"/>
    <w:rsid w:val="003E4EB7"/>
    <w:rsid w:val="00400A2E"/>
    <w:rsid w:val="0041454F"/>
    <w:rsid w:val="0041506D"/>
    <w:rsid w:val="00431380"/>
    <w:rsid w:val="0044101B"/>
    <w:rsid w:val="00445342"/>
    <w:rsid w:val="00451CA3"/>
    <w:rsid w:val="00465D8B"/>
    <w:rsid w:val="00476C2A"/>
    <w:rsid w:val="0049613A"/>
    <w:rsid w:val="004B17E0"/>
    <w:rsid w:val="004D634E"/>
    <w:rsid w:val="00520E7B"/>
    <w:rsid w:val="00520F4B"/>
    <w:rsid w:val="00527F03"/>
    <w:rsid w:val="00527F8A"/>
    <w:rsid w:val="0055738F"/>
    <w:rsid w:val="00582CAB"/>
    <w:rsid w:val="00586156"/>
    <w:rsid w:val="00594B35"/>
    <w:rsid w:val="005A74CD"/>
    <w:rsid w:val="005D201C"/>
    <w:rsid w:val="005F78B3"/>
    <w:rsid w:val="00601F79"/>
    <w:rsid w:val="00620296"/>
    <w:rsid w:val="00623263"/>
    <w:rsid w:val="00632162"/>
    <w:rsid w:val="00643492"/>
    <w:rsid w:val="00653D27"/>
    <w:rsid w:val="00674A20"/>
    <w:rsid w:val="006B3A59"/>
    <w:rsid w:val="006C1D96"/>
    <w:rsid w:val="007366C0"/>
    <w:rsid w:val="0075364E"/>
    <w:rsid w:val="00753A4F"/>
    <w:rsid w:val="0075443B"/>
    <w:rsid w:val="007640FF"/>
    <w:rsid w:val="00794448"/>
    <w:rsid w:val="007B1153"/>
    <w:rsid w:val="007C20CD"/>
    <w:rsid w:val="007C370A"/>
    <w:rsid w:val="007E7769"/>
    <w:rsid w:val="008208F6"/>
    <w:rsid w:val="008260B0"/>
    <w:rsid w:val="00835C35"/>
    <w:rsid w:val="00854585"/>
    <w:rsid w:val="0088116B"/>
    <w:rsid w:val="0089355F"/>
    <w:rsid w:val="008B5BDF"/>
    <w:rsid w:val="008C6866"/>
    <w:rsid w:val="008D60F7"/>
    <w:rsid w:val="00904028"/>
    <w:rsid w:val="00925A9A"/>
    <w:rsid w:val="00935E08"/>
    <w:rsid w:val="00957A4D"/>
    <w:rsid w:val="009627A6"/>
    <w:rsid w:val="00983EFA"/>
    <w:rsid w:val="009B0A3F"/>
    <w:rsid w:val="009C47B4"/>
    <w:rsid w:val="009E2C20"/>
    <w:rsid w:val="009F0072"/>
    <w:rsid w:val="009F2660"/>
    <w:rsid w:val="009F5385"/>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D0F8A"/>
    <w:rsid w:val="00BF27FB"/>
    <w:rsid w:val="00C056B0"/>
    <w:rsid w:val="00C51EDA"/>
    <w:rsid w:val="00C53F67"/>
    <w:rsid w:val="00C94B32"/>
    <w:rsid w:val="00CA7C43"/>
    <w:rsid w:val="00CD6583"/>
    <w:rsid w:val="00D10724"/>
    <w:rsid w:val="00D31AEF"/>
    <w:rsid w:val="00D43F0A"/>
    <w:rsid w:val="00D6066F"/>
    <w:rsid w:val="00D72E9C"/>
    <w:rsid w:val="00D76286"/>
    <w:rsid w:val="00D8305F"/>
    <w:rsid w:val="00DC6F4D"/>
    <w:rsid w:val="00DF67C0"/>
    <w:rsid w:val="00E06B08"/>
    <w:rsid w:val="00E346D4"/>
    <w:rsid w:val="00E357FC"/>
    <w:rsid w:val="00E605EA"/>
    <w:rsid w:val="00E64FFE"/>
    <w:rsid w:val="00E74BCC"/>
    <w:rsid w:val="00E836D1"/>
    <w:rsid w:val="00EA4473"/>
    <w:rsid w:val="00EF15B3"/>
    <w:rsid w:val="00EF786E"/>
    <w:rsid w:val="00F00BC4"/>
    <w:rsid w:val="00F01430"/>
    <w:rsid w:val="00F22702"/>
    <w:rsid w:val="00F34287"/>
    <w:rsid w:val="00F47E3B"/>
    <w:rsid w:val="00F5209A"/>
    <w:rsid w:val="00F5785D"/>
    <w:rsid w:val="00F63972"/>
    <w:rsid w:val="00F67F4B"/>
    <w:rsid w:val="00F752F5"/>
    <w:rsid w:val="00F81424"/>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19</cp:revision>
  <cp:lastPrinted>2020-02-10T06:14:00Z</cp:lastPrinted>
  <dcterms:created xsi:type="dcterms:W3CDTF">2020-02-10T06:17:00Z</dcterms:created>
  <dcterms:modified xsi:type="dcterms:W3CDTF">2021-04-07T02:13:00Z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